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6AF1" w14:textId="77777777" w:rsidR="00B574C4" w:rsidRDefault="00B574C4" w:rsidP="00B574C4">
      <w:pPr>
        <w:rPr>
          <w:rtl/>
        </w:rPr>
      </w:pPr>
    </w:p>
    <w:p w14:paraId="775B7A83" w14:textId="5B2318A8" w:rsidR="007D5AC7" w:rsidRDefault="007D5AC7" w:rsidP="00D52CB1">
      <w:pPr>
        <w:tabs>
          <w:tab w:val="left" w:pos="7946"/>
        </w:tabs>
        <w:jc w:val="center"/>
        <w:rPr>
          <w:b/>
          <w:bCs/>
          <w:u w:val="single"/>
          <w:rtl/>
        </w:rPr>
      </w:pPr>
      <w:r>
        <w:rPr>
          <w:rFonts w:hint="cs"/>
          <w:b/>
          <w:bCs/>
          <w:u w:val="single"/>
          <w:rtl/>
        </w:rPr>
        <w:t>קורס התנסות במחקר</w:t>
      </w:r>
      <w:r w:rsidR="00B574C4">
        <w:rPr>
          <w:rFonts w:hint="cs"/>
          <w:b/>
          <w:bCs/>
          <w:u w:val="single"/>
          <w:rtl/>
        </w:rPr>
        <w:t xml:space="preserve"> </w:t>
      </w:r>
      <w:r w:rsidR="001D78CE">
        <w:rPr>
          <w:rFonts w:hint="cs"/>
          <w:b/>
          <w:bCs/>
          <w:u w:val="single"/>
          <w:rtl/>
        </w:rPr>
        <w:t xml:space="preserve">  - ת</w:t>
      </w:r>
      <w:r w:rsidR="007F435A">
        <w:rPr>
          <w:rFonts w:hint="cs"/>
          <w:b/>
          <w:bCs/>
          <w:u w:val="single"/>
          <w:rtl/>
        </w:rPr>
        <w:t>ש</w:t>
      </w:r>
      <w:r w:rsidR="00D52CB1">
        <w:rPr>
          <w:rFonts w:hint="cs"/>
          <w:b/>
          <w:bCs/>
          <w:u w:val="single"/>
          <w:rtl/>
        </w:rPr>
        <w:t>פ</w:t>
      </w:r>
      <w:r w:rsidR="007F435A">
        <w:rPr>
          <w:rFonts w:hint="cs"/>
          <w:b/>
          <w:bCs/>
          <w:u w:val="single"/>
          <w:rtl/>
        </w:rPr>
        <w:t>"</w:t>
      </w:r>
      <w:r w:rsidR="009A7EF2">
        <w:rPr>
          <w:rFonts w:hint="cs"/>
          <w:b/>
          <w:bCs/>
          <w:u w:val="single"/>
          <w:rtl/>
        </w:rPr>
        <w:t>ה</w:t>
      </w:r>
    </w:p>
    <w:p w14:paraId="0B77E110" w14:textId="77777777" w:rsidR="00B574C4" w:rsidRDefault="007D5AC7" w:rsidP="007D5AC7">
      <w:pPr>
        <w:tabs>
          <w:tab w:val="left" w:pos="7946"/>
        </w:tabs>
        <w:jc w:val="center"/>
        <w:rPr>
          <w:b/>
          <w:bCs/>
          <w:u w:val="single"/>
          <w:rtl/>
        </w:rPr>
      </w:pPr>
      <w:r>
        <w:rPr>
          <w:rFonts w:hint="cs"/>
          <w:b/>
          <w:bCs/>
          <w:u w:val="single"/>
          <w:rtl/>
        </w:rPr>
        <w:t xml:space="preserve">המעבדה לנוירופסיכולוגיה קוגניטיבית </w:t>
      </w:r>
      <w:r w:rsidR="00B574C4">
        <w:rPr>
          <w:b/>
          <w:bCs/>
          <w:u w:val="single"/>
          <w:rtl/>
        </w:rPr>
        <w:t>–</w:t>
      </w:r>
      <w:r w:rsidR="00B574C4">
        <w:rPr>
          <w:rFonts w:hint="cs"/>
          <w:b/>
          <w:bCs/>
          <w:u w:val="single"/>
          <w:rtl/>
        </w:rPr>
        <w:t xml:space="preserve"> ד"ר דוד ענקי</w:t>
      </w:r>
    </w:p>
    <w:p w14:paraId="1101E4D4" w14:textId="77777777" w:rsidR="00B574C4" w:rsidRDefault="00B574C4" w:rsidP="00B574C4">
      <w:pPr>
        <w:jc w:val="center"/>
        <w:rPr>
          <w:u w:val="single"/>
          <w:rtl/>
        </w:rPr>
      </w:pPr>
    </w:p>
    <w:p w14:paraId="10B44D78" w14:textId="77777777" w:rsidR="00B574C4" w:rsidRPr="007D5AC7" w:rsidRDefault="007D5AC7" w:rsidP="007D5AC7">
      <w:pPr>
        <w:tabs>
          <w:tab w:val="left" w:pos="7946"/>
        </w:tabs>
        <w:jc w:val="both"/>
        <w:rPr>
          <w:rtl/>
        </w:rPr>
      </w:pPr>
      <w:r w:rsidRPr="007D5AC7">
        <w:rPr>
          <w:rFonts w:hint="cs"/>
          <w:rtl/>
        </w:rPr>
        <w:t>המעבדה לנוירופסיכולוגיה קוגניטיבית עוסקת בתהליכים של תפיסה ויזואלית וקוגניציה חברתית. שני התחומים הללו משיקים בנקודה של תפיסת פנים והבעות פנים שהינם גירוי ויזואלי ייחודי בהשוואה לגירויים ויזואליים אחרים ובנוסף לכך משמשים רמז בעל חשיבות לאינטראקציה חברתית. המחקר במעבדה מתבצע עם נבדקים בריאים, אוכלוסיות ייחודיות ופגועי ראש.</w:t>
      </w:r>
      <w:r>
        <w:rPr>
          <w:rFonts w:hint="cs"/>
          <w:rtl/>
        </w:rPr>
        <w:t xml:space="preserve"> ההתנסות במחקר נעשית בהנחיית ראש המעבדה או תלמידי מחקר לתארים מתקדמים (מ"א ודוקטורט) וכוללת תכנון ניסויים, בנייתם, הרצתם וניתוחם. </w:t>
      </w:r>
      <w:r w:rsidRPr="007D5AC7">
        <w:rPr>
          <w:rFonts w:hint="cs"/>
          <w:rtl/>
        </w:rPr>
        <w:t xml:space="preserve">    </w:t>
      </w:r>
    </w:p>
    <w:p w14:paraId="700CADC3" w14:textId="77777777" w:rsidR="00B574C4" w:rsidRPr="007D5AC7" w:rsidRDefault="00B574C4" w:rsidP="007D5AC7">
      <w:pPr>
        <w:tabs>
          <w:tab w:val="left" w:pos="7946"/>
        </w:tabs>
        <w:jc w:val="both"/>
        <w:rPr>
          <w:rtl/>
        </w:rPr>
      </w:pPr>
    </w:p>
    <w:p w14:paraId="31730262" w14:textId="77777777" w:rsidR="00B574C4" w:rsidRPr="007D5AC7" w:rsidRDefault="007D5AC7" w:rsidP="00B574C4">
      <w:pPr>
        <w:tabs>
          <w:tab w:val="left" w:pos="7946"/>
        </w:tabs>
        <w:rPr>
          <w:rtl/>
        </w:rPr>
      </w:pPr>
      <w:r w:rsidRPr="007D5AC7">
        <w:rPr>
          <w:rFonts w:hint="cs"/>
          <w:rtl/>
        </w:rPr>
        <w:t xml:space="preserve">הנושאים הנחקרים כעת במעבדה: </w:t>
      </w:r>
    </w:p>
    <w:p w14:paraId="242F3CD9" w14:textId="77777777" w:rsidR="00B574C4" w:rsidRPr="007D5AC7" w:rsidRDefault="00B574C4" w:rsidP="00B574C4">
      <w:pPr>
        <w:tabs>
          <w:tab w:val="left" w:pos="7946"/>
        </w:tabs>
        <w:rPr>
          <w:rtl/>
        </w:rPr>
      </w:pPr>
    </w:p>
    <w:p w14:paraId="07EE1EE2" w14:textId="06B9B8A5" w:rsidR="009A7EF2" w:rsidRPr="009A7EF2" w:rsidRDefault="009A7EF2" w:rsidP="009A7EF2">
      <w:pPr>
        <w:textAlignment w:val="baseline"/>
        <w:rPr>
          <w:rFonts w:ascii="Calibri" w:eastAsia="Calibri" w:hAnsi="Calibri" w:cs="Calibri"/>
          <w:sz w:val="22"/>
          <w:szCs w:val="22"/>
          <w:lang w:eastAsia="en-US"/>
        </w:rPr>
      </w:pPr>
      <w:r>
        <w:rPr>
          <w:rFonts w:ascii="David" w:eastAsia="Calibri" w:hAnsi="David" w:hint="cs"/>
          <w:b/>
          <w:bCs/>
          <w:color w:val="FF0000"/>
          <w:sz w:val="22"/>
          <w:szCs w:val="22"/>
          <w:rtl/>
          <w:lang w:eastAsia="en-US"/>
        </w:rPr>
        <w:t>1</w:t>
      </w:r>
      <w:r w:rsidRPr="009A7EF2">
        <w:rPr>
          <w:rFonts w:ascii="David" w:eastAsia="Calibri" w:hAnsi="David"/>
          <w:b/>
          <w:bCs/>
          <w:color w:val="FF0000"/>
          <w:sz w:val="22"/>
          <w:szCs w:val="22"/>
          <w:rtl/>
          <w:lang w:eastAsia="en-US"/>
        </w:rPr>
        <w:t>. תפיסה ראייתית גבוהה</w:t>
      </w:r>
      <w:r w:rsidRPr="009A7EF2">
        <w:rPr>
          <w:rFonts w:ascii="David" w:eastAsia="Calibri" w:hAnsi="David"/>
          <w:color w:val="FF0000"/>
          <w:sz w:val="22"/>
          <w:szCs w:val="22"/>
          <w:rtl/>
          <w:lang w:eastAsia="en-US"/>
        </w:rPr>
        <w:t xml:space="preserve"> תפיסת פנים מול תפיסת עצמים ותפיסה של </w:t>
      </w:r>
      <w:proofErr w:type="spellStart"/>
      <w:r w:rsidRPr="009A7EF2">
        <w:rPr>
          <w:rFonts w:ascii="David" w:eastAsia="Calibri" w:hAnsi="David"/>
          <w:color w:val="FF0000"/>
          <w:sz w:val="22"/>
          <w:szCs w:val="22"/>
          <w:rtl/>
          <w:lang w:eastAsia="en-US"/>
        </w:rPr>
        <w:t>פרדוליות</w:t>
      </w:r>
      <w:proofErr w:type="spellEnd"/>
      <w:r w:rsidRPr="009A7EF2">
        <w:rPr>
          <w:rFonts w:ascii="David" w:eastAsia="Calibri" w:hAnsi="David"/>
          <w:color w:val="FF0000"/>
          <w:sz w:val="22"/>
          <w:szCs w:val="22"/>
          <w:rtl/>
          <w:lang w:eastAsia="en-US"/>
        </w:rPr>
        <w:t> (</w:t>
      </w:r>
      <w:r w:rsidRPr="009A7EF2">
        <w:rPr>
          <w:rFonts w:ascii="David" w:eastAsia="Calibri" w:hAnsi="David"/>
          <w:color w:val="FF0000"/>
          <w:sz w:val="22"/>
          <w:szCs w:val="22"/>
          <w:lang w:eastAsia="en-US"/>
        </w:rPr>
        <w:t>pareidolia</w:t>
      </w:r>
      <w:r w:rsidRPr="009A7EF2">
        <w:rPr>
          <w:rFonts w:ascii="David" w:eastAsia="Calibri" w:hAnsi="David"/>
          <w:color w:val="FF0000"/>
          <w:sz w:val="22"/>
          <w:szCs w:val="22"/>
          <w:rtl/>
          <w:lang w:eastAsia="en-US"/>
        </w:rPr>
        <w:t>).</w:t>
      </w:r>
    </w:p>
    <w:p w14:paraId="5523824B" w14:textId="77777777" w:rsidR="009A7EF2" w:rsidRPr="009A7EF2" w:rsidRDefault="009A7EF2" w:rsidP="009A7EF2">
      <w:pPr>
        <w:textAlignment w:val="baseline"/>
        <w:rPr>
          <w:rFonts w:ascii="Calibri" w:eastAsia="Calibri" w:hAnsi="Calibri" w:cs="Calibri" w:hint="cs"/>
          <w:sz w:val="22"/>
          <w:szCs w:val="22"/>
          <w:rtl/>
          <w:lang w:eastAsia="en-US"/>
        </w:rPr>
      </w:pPr>
      <w:r w:rsidRPr="009A7EF2">
        <w:rPr>
          <w:rFonts w:ascii="David" w:eastAsia="Calibri" w:hAnsi="David"/>
          <w:b/>
          <w:bCs/>
          <w:color w:val="FF0000"/>
          <w:sz w:val="22"/>
          <w:szCs w:val="22"/>
          <w:rtl/>
          <w:lang w:eastAsia="en-US"/>
        </w:rPr>
        <w:t>2. קוגניציה חברתית</w:t>
      </w:r>
      <w:r w:rsidRPr="009A7EF2">
        <w:rPr>
          <w:rFonts w:ascii="David" w:eastAsia="Calibri" w:hAnsi="David"/>
          <w:color w:val="FF0000"/>
          <w:sz w:val="22"/>
          <w:szCs w:val="22"/>
          <w:rtl/>
          <w:lang w:eastAsia="en-US"/>
        </w:rPr>
        <w:t xml:space="preserve"> באוכלוסיות קליניות, באופניות שונות, השפעת הקשר על ויסות רגשי. </w:t>
      </w:r>
    </w:p>
    <w:p w14:paraId="3381408D" w14:textId="77777777" w:rsidR="009A7EF2" w:rsidRDefault="009A7EF2" w:rsidP="009A7EF2">
      <w:pPr>
        <w:textAlignment w:val="baseline"/>
        <w:rPr>
          <w:rFonts w:ascii="David" w:eastAsia="Calibri" w:hAnsi="David"/>
          <w:color w:val="FF0000"/>
          <w:sz w:val="22"/>
          <w:szCs w:val="22"/>
          <w:rtl/>
          <w:lang w:eastAsia="en-US"/>
        </w:rPr>
      </w:pPr>
      <w:r w:rsidRPr="009A7EF2">
        <w:rPr>
          <w:rFonts w:ascii="David" w:eastAsia="Calibri" w:hAnsi="David"/>
          <w:b/>
          <w:bCs/>
          <w:color w:val="FF0000"/>
          <w:sz w:val="22"/>
          <w:szCs w:val="22"/>
          <w:rtl/>
          <w:lang w:eastAsia="en-US"/>
        </w:rPr>
        <w:t>3. תפיסת רגשות</w:t>
      </w:r>
      <w:r w:rsidRPr="009A7EF2">
        <w:rPr>
          <w:rFonts w:ascii="David" w:eastAsia="Calibri" w:hAnsi="David"/>
          <w:color w:val="FF0000"/>
          <w:sz w:val="22"/>
          <w:szCs w:val="22"/>
          <w:rtl/>
          <w:lang w:eastAsia="en-US"/>
        </w:rPr>
        <w:t xml:space="preserve"> בעיקר של רגש הגועל על מאפייניו הפסיכולוגיים (גועל חברתי, גועל פוליטי) והתרבותיים </w:t>
      </w:r>
    </w:p>
    <w:p w14:paraId="4E4A47F1" w14:textId="1499C8FA" w:rsidR="009A7EF2" w:rsidRPr="009A7EF2" w:rsidRDefault="009A7EF2" w:rsidP="009A7EF2">
      <w:pPr>
        <w:textAlignment w:val="baseline"/>
        <w:rPr>
          <w:rFonts w:ascii="Calibri" w:eastAsia="Calibri" w:hAnsi="Calibri" w:cs="Calibri" w:hint="cs"/>
          <w:sz w:val="22"/>
          <w:szCs w:val="22"/>
          <w:rtl/>
          <w:lang w:eastAsia="en-US"/>
        </w:rPr>
      </w:pPr>
      <w:r>
        <w:rPr>
          <w:rFonts w:ascii="David" w:eastAsia="Calibri" w:hAnsi="David" w:hint="cs"/>
          <w:color w:val="FF0000"/>
          <w:sz w:val="22"/>
          <w:szCs w:val="22"/>
          <w:rtl/>
          <w:lang w:eastAsia="en-US"/>
        </w:rPr>
        <w:t xml:space="preserve">     </w:t>
      </w:r>
      <w:r w:rsidRPr="009A7EF2">
        <w:rPr>
          <w:rFonts w:ascii="David" w:eastAsia="Calibri" w:hAnsi="David"/>
          <w:color w:val="FF0000"/>
          <w:sz w:val="22"/>
          <w:szCs w:val="22"/>
          <w:rtl/>
          <w:lang w:eastAsia="en-US"/>
        </w:rPr>
        <w:t>השונים (גועל דתי).</w:t>
      </w:r>
    </w:p>
    <w:p w14:paraId="12B6DA72" w14:textId="77777777" w:rsidR="009A7EF2" w:rsidRPr="009A7EF2" w:rsidRDefault="009A7EF2" w:rsidP="009A7EF2">
      <w:pPr>
        <w:textAlignment w:val="baseline"/>
        <w:rPr>
          <w:rFonts w:ascii="Calibri" w:eastAsia="Calibri" w:hAnsi="Calibri" w:cs="Calibri" w:hint="cs"/>
          <w:sz w:val="22"/>
          <w:szCs w:val="22"/>
          <w:rtl/>
          <w:lang w:eastAsia="en-US"/>
        </w:rPr>
      </w:pPr>
      <w:r w:rsidRPr="009A7EF2">
        <w:rPr>
          <w:rFonts w:ascii="David" w:eastAsia="Calibri" w:hAnsi="David"/>
          <w:color w:val="FF0000"/>
          <w:sz w:val="22"/>
          <w:szCs w:val="22"/>
          <w:rtl/>
          <w:lang w:eastAsia="en-US"/>
        </w:rPr>
        <w:t xml:space="preserve">4. זיכרון ותפיסה של אירועים המורכבים </w:t>
      </w:r>
      <w:r w:rsidRPr="009A7EF2">
        <w:rPr>
          <w:rFonts w:ascii="David" w:eastAsia="Calibri" w:hAnsi="David"/>
          <w:b/>
          <w:bCs/>
          <w:color w:val="FF0000"/>
          <w:sz w:val="22"/>
          <w:szCs w:val="22"/>
          <w:rtl/>
          <w:lang w:eastAsia="en-US"/>
        </w:rPr>
        <w:t>מרגשות מעורבים</w:t>
      </w:r>
      <w:r w:rsidRPr="009A7EF2">
        <w:rPr>
          <w:rFonts w:ascii="David" w:eastAsia="Calibri" w:hAnsi="David"/>
          <w:color w:val="FF0000"/>
          <w:sz w:val="22"/>
          <w:szCs w:val="22"/>
          <w:rtl/>
          <w:lang w:eastAsia="en-US"/>
        </w:rPr>
        <w:t xml:space="preserve"> (שילוב רגשות שליליים וחיוביים).</w:t>
      </w:r>
    </w:p>
    <w:p w14:paraId="0BE6FE7D" w14:textId="77777777" w:rsidR="009A7EF2" w:rsidRPr="009A7EF2" w:rsidRDefault="009A7EF2" w:rsidP="009A7EF2">
      <w:pPr>
        <w:textAlignment w:val="baseline"/>
        <w:rPr>
          <w:rFonts w:ascii="Calibri" w:eastAsia="Calibri" w:hAnsi="Calibri" w:cs="Calibri" w:hint="cs"/>
          <w:sz w:val="22"/>
          <w:szCs w:val="22"/>
          <w:rtl/>
          <w:lang w:eastAsia="en-US"/>
        </w:rPr>
      </w:pPr>
      <w:r w:rsidRPr="009A7EF2">
        <w:rPr>
          <w:rFonts w:ascii="David" w:eastAsia="Calibri" w:hAnsi="David"/>
          <w:b/>
          <w:bCs/>
          <w:color w:val="FF0000"/>
          <w:sz w:val="22"/>
          <w:szCs w:val="22"/>
          <w:rtl/>
          <w:lang w:eastAsia="en-US"/>
        </w:rPr>
        <w:t>5. חמלה עצמית</w:t>
      </w:r>
      <w:r w:rsidRPr="009A7EF2">
        <w:rPr>
          <w:rFonts w:ascii="David" w:eastAsia="Calibri" w:hAnsi="David"/>
          <w:color w:val="FF0000"/>
          <w:sz w:val="22"/>
          <w:szCs w:val="22"/>
          <w:rtl/>
          <w:lang w:eastAsia="en-US"/>
        </w:rPr>
        <w:t xml:space="preserve"> והשפעתה על שחיקה מקצועית ושחיקה הורית.</w:t>
      </w:r>
    </w:p>
    <w:p w14:paraId="37BDC84B" w14:textId="77777777" w:rsidR="009A7EF2" w:rsidRPr="009A7EF2" w:rsidRDefault="009A7EF2" w:rsidP="009A7EF2">
      <w:pPr>
        <w:textAlignment w:val="baseline"/>
        <w:rPr>
          <w:rFonts w:ascii="Calibri" w:eastAsia="Calibri" w:hAnsi="Calibri" w:cs="Calibri" w:hint="cs"/>
          <w:sz w:val="22"/>
          <w:szCs w:val="22"/>
          <w:rtl/>
          <w:lang w:eastAsia="en-US"/>
        </w:rPr>
      </w:pPr>
      <w:r w:rsidRPr="009A7EF2">
        <w:rPr>
          <w:rFonts w:ascii="David" w:eastAsia="Calibri" w:hAnsi="David"/>
          <w:b/>
          <w:bCs/>
          <w:color w:val="FF0000"/>
          <w:sz w:val="22"/>
          <w:szCs w:val="22"/>
          <w:rtl/>
          <w:lang w:eastAsia="en-US"/>
        </w:rPr>
        <w:t>6. יצירתיות</w:t>
      </w:r>
      <w:r w:rsidRPr="009A7EF2">
        <w:rPr>
          <w:rFonts w:ascii="David" w:eastAsia="Calibri" w:hAnsi="David"/>
          <w:color w:val="FF0000"/>
          <w:sz w:val="22"/>
          <w:szCs w:val="22"/>
          <w:rtl/>
          <w:lang w:eastAsia="en-US"/>
        </w:rPr>
        <w:t xml:space="preserve"> מנקודת מבט של תורת הרשתות הסמנטיות והקשר בין יצירתיות לדו-שפתיות.</w:t>
      </w:r>
    </w:p>
    <w:p w14:paraId="52058848" w14:textId="77777777" w:rsidR="00C76833" w:rsidRDefault="00C76833" w:rsidP="00B574C4">
      <w:pPr>
        <w:tabs>
          <w:tab w:val="left" w:pos="7946"/>
        </w:tabs>
        <w:rPr>
          <w:rtl/>
        </w:rPr>
      </w:pPr>
    </w:p>
    <w:p w14:paraId="394A1117" w14:textId="77777777" w:rsidR="00C76833" w:rsidRDefault="00C76833" w:rsidP="00B574C4">
      <w:pPr>
        <w:tabs>
          <w:tab w:val="left" w:pos="7946"/>
        </w:tabs>
        <w:rPr>
          <w:rtl/>
        </w:rPr>
      </w:pPr>
    </w:p>
    <w:p w14:paraId="697E7E83" w14:textId="77777777" w:rsidR="00B574C4" w:rsidRDefault="00B574C4" w:rsidP="00B574C4">
      <w:pPr>
        <w:tabs>
          <w:tab w:val="left" w:pos="7946"/>
        </w:tabs>
        <w:rPr>
          <w:rtl/>
        </w:rPr>
      </w:pPr>
      <w:r>
        <w:rPr>
          <w:rFonts w:hint="cs"/>
          <w:rtl/>
        </w:rPr>
        <w:t>המעוניינים מתבקשים לפנות לד"ר דוד ענקי בדוא"ל:</w:t>
      </w:r>
    </w:p>
    <w:p w14:paraId="34C85BA8" w14:textId="77777777" w:rsidR="00B574C4" w:rsidRDefault="00B574C4" w:rsidP="00B574C4">
      <w:pPr>
        <w:tabs>
          <w:tab w:val="left" w:pos="7946"/>
        </w:tabs>
        <w:rPr>
          <w:rtl/>
        </w:rPr>
      </w:pPr>
    </w:p>
    <w:p w14:paraId="0570FD5F" w14:textId="77777777" w:rsidR="00B574C4" w:rsidRPr="005C44B3" w:rsidRDefault="00B574C4" w:rsidP="00B574C4">
      <w:pPr>
        <w:tabs>
          <w:tab w:val="left" w:pos="7946"/>
        </w:tabs>
      </w:pPr>
      <w:r>
        <w:t>david.anaki@biu.ac.il</w:t>
      </w:r>
    </w:p>
    <w:p w14:paraId="5AB4E7F9" w14:textId="77777777" w:rsidR="00B574C4" w:rsidRDefault="00B574C4" w:rsidP="00B574C4"/>
    <w:p w14:paraId="693419B7" w14:textId="77777777" w:rsidR="00B574C4" w:rsidRDefault="00B574C4" w:rsidP="00B574C4">
      <w:pPr>
        <w:rPr>
          <w:rtl/>
        </w:rPr>
      </w:pPr>
    </w:p>
    <w:p w14:paraId="0ECB6EA8" w14:textId="77777777" w:rsidR="00B574C4" w:rsidRDefault="00B574C4" w:rsidP="00B574C4">
      <w:pPr>
        <w:rPr>
          <w:rtl/>
        </w:rPr>
      </w:pPr>
    </w:p>
    <w:p w14:paraId="2D60C919" w14:textId="77777777" w:rsidR="007D42EE" w:rsidRDefault="007D42EE"/>
    <w:sectPr w:rsidR="007D42EE" w:rsidSect="004D0D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C4"/>
    <w:rsid w:val="0015579F"/>
    <w:rsid w:val="001A4D28"/>
    <w:rsid w:val="001D78CE"/>
    <w:rsid w:val="00210D5D"/>
    <w:rsid w:val="003071AA"/>
    <w:rsid w:val="004D0D88"/>
    <w:rsid w:val="007D42EE"/>
    <w:rsid w:val="007D5AC7"/>
    <w:rsid w:val="007F435A"/>
    <w:rsid w:val="008327A8"/>
    <w:rsid w:val="00865614"/>
    <w:rsid w:val="009A7EF2"/>
    <w:rsid w:val="00B574C4"/>
    <w:rsid w:val="00C76833"/>
    <w:rsid w:val="00D52CB1"/>
    <w:rsid w:val="00F06863"/>
    <w:rsid w:val="00FB59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E883"/>
  <w15:docId w15:val="{D3584E42-61F0-4900-A8C1-2B3237BE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4C4"/>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1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955</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אהובית ברקוביץ</cp:lastModifiedBy>
  <cp:revision>2</cp:revision>
  <dcterms:created xsi:type="dcterms:W3CDTF">2024-08-08T08:23:00Z</dcterms:created>
  <dcterms:modified xsi:type="dcterms:W3CDTF">2024-08-08T08:23:00Z</dcterms:modified>
</cp:coreProperties>
</file>